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E285" w14:textId="77777777" w:rsidR="00230F0A" w:rsidRPr="00230F0A" w:rsidRDefault="00230F0A" w:rsidP="00230F0A">
      <w:pPr>
        <w:ind w:left="360"/>
        <w:rPr>
          <w:rFonts w:asciiTheme="majorEastAsia" w:hAnsiTheme="majorEastAsia" w:cstheme="majorEastAsia"/>
          <w:b/>
          <w:sz w:val="32"/>
        </w:rPr>
      </w:pPr>
      <w:r w:rsidRPr="00230F0A">
        <w:rPr>
          <w:rFonts w:asciiTheme="majorEastAsia" w:hAnsiTheme="majorEastAsia" w:cstheme="majorEastAsia" w:hint="eastAsia"/>
          <w:b/>
          <w:sz w:val="28"/>
        </w:rPr>
        <w:t>9:00 am</w:t>
      </w:r>
      <w:r w:rsidRPr="00230F0A">
        <w:rPr>
          <w:rFonts w:asciiTheme="majorEastAsia" w:hAnsiTheme="majorEastAsia" w:cstheme="majorEastAsia" w:hint="eastAsia"/>
          <w:b/>
          <w:sz w:val="32"/>
        </w:rPr>
        <w:tab/>
      </w:r>
    </w:p>
    <w:p w14:paraId="28FDF50A" w14:textId="64F006E7" w:rsidR="00230F0A" w:rsidRPr="00230F0A" w:rsidRDefault="00230F0A" w:rsidP="00230F0A">
      <w:pPr>
        <w:ind w:left="360"/>
        <w:rPr>
          <w:rFonts w:asciiTheme="majorEastAsia" w:hAnsiTheme="majorEastAsia" w:cstheme="majorEastAsia"/>
          <w:sz w:val="28"/>
        </w:rPr>
      </w:pPr>
      <w:r w:rsidRPr="00230F0A">
        <w:rPr>
          <w:rFonts w:asciiTheme="majorEastAsia" w:hAnsiTheme="majorEastAsia" w:cstheme="majorEastAsia" w:hint="eastAsia"/>
          <w:sz w:val="28"/>
        </w:rPr>
        <w:t xml:space="preserve"> </w:t>
      </w:r>
      <w:r w:rsidR="00EA1F88">
        <w:rPr>
          <w:rFonts w:asciiTheme="majorEastAsia" w:hAnsiTheme="majorEastAsia" w:cstheme="majorEastAsia"/>
          <w:sz w:val="28"/>
        </w:rPr>
        <w:t>-</w:t>
      </w:r>
      <w:r w:rsidRPr="00230F0A">
        <w:rPr>
          <w:rFonts w:asciiTheme="majorEastAsia" w:hAnsiTheme="majorEastAsia" w:cstheme="majorEastAsia" w:hint="eastAsia"/>
          <w:sz w:val="28"/>
        </w:rPr>
        <w:t>Safety and Facilities</w:t>
      </w:r>
    </w:p>
    <w:p w14:paraId="31AE49B0" w14:textId="77777777" w:rsidR="00230F0A" w:rsidRPr="00230F0A" w:rsidRDefault="00230F0A" w:rsidP="00230F0A">
      <w:pPr>
        <w:ind w:left="360"/>
        <w:rPr>
          <w:rFonts w:asciiTheme="majorEastAsia" w:hAnsiTheme="majorEastAsia" w:cstheme="majorEastAsia"/>
          <w:sz w:val="28"/>
        </w:rPr>
      </w:pPr>
      <w:r w:rsidRPr="00230F0A">
        <w:rPr>
          <w:rFonts w:asciiTheme="majorEastAsia" w:hAnsiTheme="majorEastAsia" w:cstheme="majorEastAsia" w:hint="eastAsia"/>
          <w:sz w:val="28"/>
        </w:rPr>
        <w:t xml:space="preserve">-History and the Pipeline Safety Act </w:t>
      </w:r>
    </w:p>
    <w:p w14:paraId="064DC29A" w14:textId="77777777" w:rsidR="00230F0A" w:rsidRPr="00230F0A" w:rsidRDefault="00230F0A" w:rsidP="00230F0A">
      <w:pPr>
        <w:ind w:left="360"/>
        <w:rPr>
          <w:rFonts w:asciiTheme="majorEastAsia" w:hAnsiTheme="majorEastAsia" w:cstheme="majorEastAsia"/>
          <w:sz w:val="28"/>
        </w:rPr>
      </w:pPr>
      <w:r w:rsidRPr="00230F0A">
        <w:rPr>
          <w:rFonts w:asciiTheme="majorEastAsia" w:hAnsiTheme="majorEastAsia" w:cstheme="majorEastAsia" w:hint="eastAsia"/>
          <w:sz w:val="28"/>
        </w:rPr>
        <w:t>-Pipeline Safety Regulatory Structure</w:t>
      </w:r>
    </w:p>
    <w:p w14:paraId="702F435E" w14:textId="77777777" w:rsidR="00230F0A" w:rsidRPr="00230F0A" w:rsidRDefault="00230F0A" w:rsidP="00230F0A">
      <w:pPr>
        <w:ind w:left="360"/>
        <w:rPr>
          <w:rFonts w:asciiTheme="majorEastAsia" w:hAnsiTheme="majorEastAsia" w:cstheme="majorEastAsia"/>
          <w:sz w:val="28"/>
        </w:rPr>
      </w:pPr>
      <w:r w:rsidRPr="00230F0A">
        <w:rPr>
          <w:rFonts w:asciiTheme="majorEastAsia" w:hAnsiTheme="majorEastAsia" w:cstheme="majorEastAsia" w:hint="eastAsia"/>
          <w:sz w:val="28"/>
        </w:rPr>
        <w:tab/>
      </w:r>
      <w:r w:rsidRPr="00230F0A">
        <w:rPr>
          <w:rFonts w:asciiTheme="majorEastAsia" w:hAnsiTheme="majorEastAsia" w:cstheme="majorEastAsia" w:hint="eastAsia"/>
          <w:sz w:val="28"/>
        </w:rPr>
        <w:tab/>
        <w:t>*Federal Agencies</w:t>
      </w:r>
    </w:p>
    <w:p w14:paraId="60385A8B" w14:textId="77777777" w:rsidR="00230F0A" w:rsidRPr="00230F0A" w:rsidRDefault="00230F0A" w:rsidP="00230F0A">
      <w:pPr>
        <w:ind w:left="1080"/>
        <w:rPr>
          <w:rFonts w:asciiTheme="majorEastAsia" w:hAnsiTheme="majorEastAsia" w:cstheme="majorEastAsia"/>
          <w:sz w:val="28"/>
        </w:rPr>
      </w:pPr>
      <w:r w:rsidRPr="00230F0A">
        <w:rPr>
          <w:rFonts w:asciiTheme="majorEastAsia" w:hAnsiTheme="majorEastAsia" w:cstheme="majorEastAsia" w:hint="eastAsia"/>
          <w:sz w:val="28"/>
        </w:rPr>
        <w:tab/>
        <w:t>*State Agencies</w:t>
      </w:r>
    </w:p>
    <w:p w14:paraId="6F54D716" w14:textId="7F9372B3" w:rsidR="00EA1F88" w:rsidRDefault="00230F0A" w:rsidP="00EA1F88">
      <w:pPr>
        <w:spacing w:line="360" w:lineRule="auto"/>
        <w:ind w:left="360"/>
        <w:rPr>
          <w:rFonts w:asciiTheme="majorEastAsia" w:hAnsiTheme="majorEastAsia" w:cstheme="majorEastAsia"/>
          <w:sz w:val="28"/>
        </w:rPr>
      </w:pPr>
      <w:r w:rsidRPr="00230F0A">
        <w:rPr>
          <w:rFonts w:asciiTheme="majorEastAsia" w:hAnsiTheme="majorEastAsia" w:cstheme="majorEastAsia" w:hint="eastAsia"/>
          <w:sz w:val="28"/>
        </w:rPr>
        <w:t>-Overview of Parts 190-199 and Part 40</w:t>
      </w:r>
      <w:bookmarkStart w:id="0" w:name="_GoBack"/>
      <w:bookmarkEnd w:id="0"/>
    </w:p>
    <w:p w14:paraId="24CC59C9" w14:textId="4E9D31FC" w:rsidR="00EA1F88" w:rsidRPr="00EA1F88" w:rsidRDefault="00EA1F88" w:rsidP="00EA1F88">
      <w:pPr>
        <w:spacing w:line="360" w:lineRule="auto"/>
        <w:ind w:left="360"/>
        <w:rPr>
          <w:rFonts w:asciiTheme="majorEastAsia" w:hAnsiTheme="majorEastAsia" w:cstheme="majorEastAsia"/>
          <w:b/>
          <w:sz w:val="28"/>
        </w:rPr>
      </w:pPr>
      <w:r w:rsidRPr="00EA1F88">
        <w:rPr>
          <w:rFonts w:asciiTheme="majorEastAsia" w:hAnsiTheme="majorEastAsia" w:cstheme="majorEastAsia"/>
          <w:b/>
          <w:sz w:val="28"/>
        </w:rPr>
        <w:t xml:space="preserve">12:00 pm </w:t>
      </w:r>
      <w:r>
        <w:rPr>
          <w:rFonts w:asciiTheme="majorEastAsia" w:hAnsiTheme="majorEastAsia" w:cstheme="majorEastAsia"/>
          <w:b/>
          <w:sz w:val="28"/>
        </w:rPr>
        <w:t xml:space="preserve">– </w:t>
      </w:r>
      <w:r w:rsidRPr="00EA1F88">
        <w:rPr>
          <w:rFonts w:asciiTheme="majorEastAsia" w:hAnsiTheme="majorEastAsia" w:cstheme="majorEastAsia"/>
          <w:b/>
          <w:sz w:val="28"/>
        </w:rPr>
        <w:t>Lunch</w:t>
      </w:r>
    </w:p>
    <w:p w14:paraId="43FA07FB" w14:textId="77777777" w:rsidR="00230F0A" w:rsidRPr="00230F0A" w:rsidRDefault="00230F0A" w:rsidP="00EA1F88">
      <w:pPr>
        <w:spacing w:line="360" w:lineRule="auto"/>
        <w:ind w:left="360"/>
        <w:rPr>
          <w:rFonts w:asciiTheme="majorEastAsia" w:hAnsiTheme="majorEastAsia" w:cstheme="majorEastAsia"/>
          <w:sz w:val="28"/>
        </w:rPr>
      </w:pPr>
      <w:r w:rsidRPr="00230F0A">
        <w:rPr>
          <w:rFonts w:asciiTheme="majorEastAsia" w:hAnsiTheme="majorEastAsia" w:cstheme="majorEastAsia" w:hint="eastAsia"/>
          <w:sz w:val="28"/>
        </w:rPr>
        <w:t>-Overview and Structure of Part 192</w:t>
      </w:r>
    </w:p>
    <w:p w14:paraId="6A110B9C" w14:textId="77777777" w:rsidR="00230F0A" w:rsidRPr="00230F0A" w:rsidRDefault="00230F0A" w:rsidP="00230F0A">
      <w:pPr>
        <w:ind w:left="1080"/>
        <w:rPr>
          <w:rFonts w:asciiTheme="majorEastAsia" w:hAnsiTheme="majorEastAsia" w:cstheme="majorEastAsia"/>
          <w:sz w:val="28"/>
        </w:rPr>
      </w:pPr>
      <w:r w:rsidRPr="00230F0A">
        <w:rPr>
          <w:rFonts w:asciiTheme="majorEastAsia" w:hAnsiTheme="majorEastAsia" w:cstheme="majorEastAsia" w:hint="eastAsia"/>
          <w:sz w:val="28"/>
        </w:rPr>
        <w:t>*Applicability</w:t>
      </w:r>
    </w:p>
    <w:p w14:paraId="2AF7614D" w14:textId="77777777" w:rsidR="00230F0A" w:rsidRPr="00230F0A" w:rsidRDefault="00230F0A" w:rsidP="00230F0A">
      <w:pPr>
        <w:ind w:left="1080"/>
        <w:rPr>
          <w:rFonts w:asciiTheme="majorEastAsia" w:hAnsiTheme="majorEastAsia" w:cstheme="majorEastAsia"/>
          <w:sz w:val="28"/>
        </w:rPr>
      </w:pPr>
      <w:r w:rsidRPr="00230F0A">
        <w:rPr>
          <w:rFonts w:asciiTheme="majorEastAsia" w:hAnsiTheme="majorEastAsia" w:cstheme="majorEastAsia" w:hint="eastAsia"/>
          <w:sz w:val="28"/>
        </w:rPr>
        <w:t>*Definitions</w:t>
      </w:r>
    </w:p>
    <w:p w14:paraId="6F5C8396" w14:textId="77777777" w:rsidR="00230F0A" w:rsidRPr="00230F0A" w:rsidRDefault="00230F0A" w:rsidP="00230F0A">
      <w:pPr>
        <w:ind w:left="1080"/>
        <w:rPr>
          <w:rFonts w:asciiTheme="majorEastAsia" w:hAnsiTheme="majorEastAsia" w:cstheme="majorEastAsia"/>
          <w:sz w:val="28"/>
        </w:rPr>
      </w:pPr>
      <w:r w:rsidRPr="00230F0A">
        <w:rPr>
          <w:rFonts w:asciiTheme="majorEastAsia" w:hAnsiTheme="majorEastAsia" w:cstheme="majorEastAsia" w:hint="eastAsia"/>
          <w:sz w:val="28"/>
        </w:rPr>
        <w:t>*Gathering line, Transmission line, Distribution line</w:t>
      </w:r>
    </w:p>
    <w:p w14:paraId="4B310FAC" w14:textId="77777777" w:rsidR="00230F0A" w:rsidRPr="00230F0A" w:rsidRDefault="00230F0A" w:rsidP="00230F0A">
      <w:pPr>
        <w:autoSpaceDE w:val="0"/>
        <w:autoSpaceDN w:val="0"/>
        <w:adjustRightInd w:val="0"/>
        <w:spacing w:after="0" w:line="360" w:lineRule="auto"/>
        <w:ind w:left="360"/>
        <w:rPr>
          <w:rFonts w:asciiTheme="majorEastAsia" w:hAnsiTheme="majorEastAsia" w:cstheme="majorEastAsia"/>
          <w:sz w:val="28"/>
        </w:rPr>
      </w:pPr>
      <w:r w:rsidRPr="00230F0A">
        <w:rPr>
          <w:rFonts w:asciiTheme="majorEastAsia" w:hAnsiTheme="majorEastAsia" w:cstheme="majorEastAsia" w:hint="eastAsia"/>
          <w:sz w:val="28"/>
        </w:rPr>
        <w:t>-Operations</w:t>
      </w:r>
    </w:p>
    <w:p w14:paraId="34330ED4" w14:textId="77777777" w:rsidR="00230F0A" w:rsidRPr="00230F0A" w:rsidRDefault="00230F0A" w:rsidP="00230F0A">
      <w:pPr>
        <w:autoSpaceDE w:val="0"/>
        <w:autoSpaceDN w:val="0"/>
        <w:adjustRightInd w:val="0"/>
        <w:spacing w:after="0" w:line="360" w:lineRule="auto"/>
        <w:ind w:left="360"/>
        <w:rPr>
          <w:rFonts w:asciiTheme="majorEastAsia" w:hAnsiTheme="majorEastAsia" w:cstheme="majorEastAsia"/>
          <w:sz w:val="28"/>
        </w:rPr>
      </w:pPr>
      <w:r w:rsidRPr="00230F0A">
        <w:rPr>
          <w:rFonts w:asciiTheme="majorEastAsia" w:hAnsiTheme="majorEastAsia" w:cstheme="majorEastAsia" w:hint="eastAsia"/>
          <w:sz w:val="28"/>
        </w:rPr>
        <w:t>-Maintenance</w:t>
      </w:r>
    </w:p>
    <w:p w14:paraId="25CCB096" w14:textId="77777777" w:rsidR="00230F0A" w:rsidRPr="00230F0A" w:rsidRDefault="00230F0A" w:rsidP="00230F0A">
      <w:pPr>
        <w:autoSpaceDE w:val="0"/>
        <w:autoSpaceDN w:val="0"/>
        <w:adjustRightInd w:val="0"/>
        <w:spacing w:after="0" w:line="360" w:lineRule="auto"/>
        <w:ind w:left="360"/>
        <w:rPr>
          <w:rFonts w:asciiTheme="majorEastAsia" w:hAnsiTheme="majorEastAsia" w:cstheme="majorEastAsia"/>
          <w:sz w:val="28"/>
        </w:rPr>
      </w:pPr>
      <w:r w:rsidRPr="00230F0A">
        <w:rPr>
          <w:rFonts w:asciiTheme="majorEastAsia" w:hAnsiTheme="majorEastAsia" w:cstheme="majorEastAsia" w:hint="eastAsia"/>
          <w:sz w:val="28"/>
        </w:rPr>
        <w:t>-DIMP</w:t>
      </w:r>
    </w:p>
    <w:p w14:paraId="389F2E9A" w14:textId="77777777" w:rsidR="00230F0A" w:rsidRPr="00230F0A" w:rsidRDefault="00230F0A" w:rsidP="00230F0A">
      <w:pPr>
        <w:autoSpaceDE w:val="0"/>
        <w:autoSpaceDN w:val="0"/>
        <w:adjustRightInd w:val="0"/>
        <w:spacing w:after="0" w:line="360" w:lineRule="auto"/>
        <w:ind w:left="360"/>
        <w:rPr>
          <w:rFonts w:asciiTheme="majorEastAsia" w:hAnsiTheme="majorEastAsia" w:cstheme="majorEastAsia"/>
          <w:sz w:val="28"/>
        </w:rPr>
      </w:pPr>
      <w:r w:rsidRPr="00230F0A">
        <w:rPr>
          <w:rFonts w:asciiTheme="majorEastAsia" w:hAnsiTheme="majorEastAsia" w:cstheme="majorEastAsia" w:hint="eastAsia"/>
          <w:sz w:val="28"/>
        </w:rPr>
        <w:t>-Operator Qualification</w:t>
      </w:r>
    </w:p>
    <w:p w14:paraId="4DCBA80E" w14:textId="77777777" w:rsidR="00230F0A" w:rsidRDefault="00230F0A" w:rsidP="00230F0A">
      <w:pPr>
        <w:autoSpaceDE w:val="0"/>
        <w:autoSpaceDN w:val="0"/>
        <w:adjustRightInd w:val="0"/>
        <w:spacing w:after="0" w:line="360" w:lineRule="auto"/>
        <w:ind w:left="360"/>
        <w:rPr>
          <w:rFonts w:asciiTheme="majorEastAsia" w:hAnsiTheme="majorEastAsia" w:cstheme="majorEastAsia"/>
          <w:sz w:val="28"/>
        </w:rPr>
      </w:pPr>
      <w:r w:rsidRPr="00230F0A">
        <w:rPr>
          <w:rFonts w:asciiTheme="majorEastAsia" w:hAnsiTheme="majorEastAsia" w:cstheme="majorEastAsia" w:hint="eastAsia"/>
          <w:sz w:val="28"/>
        </w:rPr>
        <w:t>-Upcoming Rulemakings</w:t>
      </w:r>
    </w:p>
    <w:p w14:paraId="18FB0053" w14:textId="77777777" w:rsidR="00230F0A" w:rsidRPr="00230F0A" w:rsidRDefault="00230F0A" w:rsidP="00230F0A">
      <w:pPr>
        <w:autoSpaceDE w:val="0"/>
        <w:autoSpaceDN w:val="0"/>
        <w:adjustRightInd w:val="0"/>
        <w:spacing w:after="0" w:line="360" w:lineRule="auto"/>
        <w:ind w:left="360"/>
        <w:rPr>
          <w:rFonts w:asciiTheme="majorEastAsia" w:hAnsiTheme="majorEastAsia" w:cstheme="majorEastAsia"/>
          <w:sz w:val="28"/>
        </w:rPr>
      </w:pPr>
    </w:p>
    <w:p w14:paraId="19C55216" w14:textId="064DBCE8" w:rsidR="00230F0A" w:rsidRPr="00EA1F88" w:rsidRDefault="00EA1F88">
      <w:pPr>
        <w:rPr>
          <w:rFonts w:asciiTheme="majorEastAsia" w:hAnsiTheme="majorEastAsia" w:cstheme="majorEastAsia"/>
          <w:b/>
          <w:sz w:val="28"/>
        </w:rPr>
      </w:pPr>
      <w:r>
        <w:rPr>
          <w:rFonts w:asciiTheme="majorEastAsia" w:hAnsiTheme="majorEastAsia" w:cstheme="majorEastAsia"/>
          <w:b/>
          <w:sz w:val="28"/>
        </w:rPr>
        <w:t xml:space="preserve">      </w:t>
      </w:r>
      <w:r w:rsidR="00230F0A" w:rsidRPr="00230F0A">
        <w:rPr>
          <w:rFonts w:asciiTheme="majorEastAsia" w:hAnsiTheme="majorEastAsia" w:cstheme="majorEastAsia" w:hint="eastAsia"/>
          <w:b/>
          <w:sz w:val="28"/>
        </w:rPr>
        <w:t>3:00 p.m</w:t>
      </w:r>
      <w:r w:rsidR="00230F0A" w:rsidRPr="00EA1F88">
        <w:rPr>
          <w:rFonts w:asciiTheme="majorEastAsia" w:hAnsiTheme="majorEastAsia" w:cstheme="majorEastAsia" w:hint="eastAsia"/>
          <w:sz w:val="28"/>
        </w:rPr>
        <w:t xml:space="preserve">. </w:t>
      </w:r>
      <w:r w:rsidRPr="00EA1F88">
        <w:rPr>
          <w:rFonts w:asciiTheme="majorEastAsia" w:hAnsiTheme="majorEastAsia" w:cstheme="majorEastAsia"/>
          <w:sz w:val="28"/>
        </w:rPr>
        <w:t xml:space="preserve">  </w:t>
      </w:r>
      <w:r w:rsidR="00230F0A" w:rsidRPr="00EA1F88">
        <w:rPr>
          <w:rFonts w:asciiTheme="majorEastAsia" w:hAnsiTheme="majorEastAsia" w:cstheme="majorEastAsia"/>
          <w:b/>
          <w:sz w:val="28"/>
        </w:rPr>
        <w:t>-</w:t>
      </w:r>
      <w:r>
        <w:rPr>
          <w:rFonts w:asciiTheme="majorEastAsia" w:hAnsiTheme="majorEastAsia" w:cstheme="majorEastAsia"/>
          <w:b/>
          <w:sz w:val="28"/>
        </w:rPr>
        <w:t xml:space="preserve"> </w:t>
      </w:r>
      <w:r w:rsidR="00230F0A" w:rsidRPr="00EA1F88">
        <w:rPr>
          <w:rFonts w:asciiTheme="majorEastAsia" w:hAnsiTheme="majorEastAsia" w:cstheme="majorEastAsia" w:hint="eastAsia"/>
          <w:b/>
          <w:sz w:val="28"/>
        </w:rPr>
        <w:t>Questions/Closing</w:t>
      </w:r>
    </w:p>
    <w:sectPr w:rsidR="00230F0A" w:rsidRPr="00EA1F88" w:rsidSect="00310C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C2B59" w14:textId="77777777" w:rsidR="00E375B7" w:rsidRDefault="00E375B7" w:rsidP="00230F0A">
      <w:pPr>
        <w:spacing w:after="0" w:line="240" w:lineRule="auto"/>
      </w:pPr>
      <w:r>
        <w:separator/>
      </w:r>
    </w:p>
  </w:endnote>
  <w:endnote w:type="continuationSeparator" w:id="0">
    <w:p w14:paraId="2960DC12" w14:textId="77777777" w:rsidR="00E375B7" w:rsidRDefault="00E375B7" w:rsidP="0023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EB1E6" w14:textId="77777777" w:rsidR="00E375B7" w:rsidRDefault="00E375B7" w:rsidP="00230F0A">
      <w:pPr>
        <w:spacing w:after="0" w:line="240" w:lineRule="auto"/>
      </w:pPr>
      <w:r>
        <w:separator/>
      </w:r>
    </w:p>
  </w:footnote>
  <w:footnote w:type="continuationSeparator" w:id="0">
    <w:p w14:paraId="3F2264B6" w14:textId="77777777" w:rsidR="00E375B7" w:rsidRDefault="00E375B7" w:rsidP="0023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BD80" w14:textId="77777777" w:rsidR="00230F0A" w:rsidRDefault="00230F0A" w:rsidP="00230F0A">
    <w:pPr>
      <w:spacing w:after="0"/>
      <w:rPr>
        <w:rFonts w:asciiTheme="minorEastAsia" w:hAnsiTheme="minorEastAsia" w:cstheme="minorEastAsia"/>
        <w:b/>
        <w:smallCaps/>
        <w:sz w:val="32"/>
        <w:szCs w:val="32"/>
      </w:rPr>
    </w:pPr>
    <w:r>
      <w:rPr>
        <w:rFonts w:asciiTheme="minorEastAsia" w:hAnsiTheme="minorEastAsia" w:cstheme="minorEastAsia" w:hint="eastAsia"/>
        <w:b/>
        <w:smallCaps/>
        <w:noProof/>
        <w:sz w:val="32"/>
        <w:szCs w:val="32"/>
        <w:lang w:eastAsia="zh-CN"/>
      </w:rPr>
      <w:drawing>
        <wp:inline distT="0" distB="0" distL="0" distR="0" wp14:anchorId="6794FAA0" wp14:editId="595FC0A3">
          <wp:extent cx="917500" cy="459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g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738" cy="466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2A427" w14:textId="77777777" w:rsidR="00230F0A" w:rsidRPr="00230F0A" w:rsidRDefault="00230F0A" w:rsidP="00230F0A">
    <w:pPr>
      <w:spacing w:after="0"/>
      <w:jc w:val="center"/>
      <w:rPr>
        <w:rFonts w:asciiTheme="minorEastAsia" w:hAnsiTheme="minorEastAsia" w:cstheme="minorEastAsia"/>
        <w:b/>
        <w:smallCaps/>
        <w:sz w:val="28"/>
        <w:szCs w:val="32"/>
      </w:rPr>
    </w:pPr>
    <w:r w:rsidRPr="00230F0A">
      <w:rPr>
        <w:rFonts w:asciiTheme="minorEastAsia" w:hAnsiTheme="minorEastAsia" w:cstheme="minorEastAsia" w:hint="eastAsia"/>
        <w:b/>
        <w:smallCaps/>
        <w:sz w:val="28"/>
        <w:szCs w:val="32"/>
      </w:rPr>
      <w:t>TRC Pipeline Regulatory Services</w:t>
    </w:r>
  </w:p>
  <w:p w14:paraId="70103F09" w14:textId="77777777" w:rsidR="00230F0A" w:rsidRPr="00230F0A" w:rsidRDefault="00230F0A" w:rsidP="00230F0A">
    <w:pPr>
      <w:spacing w:after="0"/>
      <w:jc w:val="center"/>
      <w:rPr>
        <w:rFonts w:asciiTheme="minorEastAsia" w:hAnsiTheme="minorEastAsia" w:cstheme="minorEastAsia"/>
        <w:b/>
        <w:smallCaps/>
        <w:sz w:val="28"/>
        <w:szCs w:val="32"/>
      </w:rPr>
    </w:pPr>
    <w:r w:rsidRPr="00230F0A">
      <w:rPr>
        <w:rFonts w:asciiTheme="minorEastAsia" w:hAnsiTheme="minorEastAsia" w:cstheme="minorEastAsia" w:hint="eastAsia"/>
        <w:b/>
        <w:smallCaps/>
        <w:sz w:val="28"/>
        <w:szCs w:val="32"/>
      </w:rPr>
      <w:t xml:space="preserve"> CFR Parts 191 &amp; 192</w:t>
    </w:r>
  </w:p>
  <w:p w14:paraId="3A4F386D" w14:textId="77777777" w:rsidR="00230F0A" w:rsidRPr="00230F0A" w:rsidRDefault="00230F0A" w:rsidP="00230F0A">
    <w:pPr>
      <w:spacing w:after="0"/>
      <w:jc w:val="center"/>
      <w:rPr>
        <w:rFonts w:asciiTheme="minorEastAsia" w:hAnsiTheme="minorEastAsia" w:cstheme="minorEastAsia"/>
        <w:b/>
        <w:smallCaps/>
        <w:sz w:val="28"/>
        <w:szCs w:val="32"/>
      </w:rPr>
    </w:pPr>
    <w:r w:rsidRPr="00230F0A">
      <w:rPr>
        <w:rFonts w:asciiTheme="minorEastAsia" w:hAnsiTheme="minorEastAsia" w:cstheme="minorEastAsia" w:hint="eastAsia"/>
        <w:b/>
        <w:smallCaps/>
        <w:sz w:val="28"/>
        <w:szCs w:val="32"/>
      </w:rPr>
      <w:t>May 1, 2018</w:t>
    </w:r>
  </w:p>
  <w:p w14:paraId="0C3486B1" w14:textId="77777777" w:rsidR="00230F0A" w:rsidRPr="00230F0A" w:rsidRDefault="00230F0A" w:rsidP="00230F0A">
    <w:pPr>
      <w:spacing w:after="0"/>
      <w:jc w:val="center"/>
      <w:rPr>
        <w:rFonts w:asciiTheme="minorEastAsia" w:hAnsiTheme="minorEastAsia" w:cstheme="minorEastAsia"/>
        <w:b/>
        <w:smallCaps/>
        <w:sz w:val="28"/>
        <w:szCs w:val="32"/>
      </w:rPr>
    </w:pPr>
    <w:r w:rsidRPr="00230F0A">
      <w:rPr>
        <w:rFonts w:asciiTheme="minorEastAsia" w:hAnsiTheme="minorEastAsia" w:cstheme="minorEastAsia"/>
        <w:b/>
        <w:smallCaps/>
        <w:sz w:val="28"/>
        <w:szCs w:val="32"/>
      </w:rPr>
      <w:t>1600 Eastgate Parkway</w:t>
    </w:r>
  </w:p>
  <w:p w14:paraId="561FE6A7" w14:textId="77777777" w:rsidR="00230F0A" w:rsidRPr="00230F0A" w:rsidRDefault="00230F0A" w:rsidP="00230F0A">
    <w:pPr>
      <w:spacing w:after="0"/>
      <w:jc w:val="center"/>
      <w:rPr>
        <w:rFonts w:asciiTheme="minorEastAsia" w:hAnsiTheme="minorEastAsia" w:cstheme="minorEastAsia"/>
        <w:b/>
        <w:smallCaps/>
        <w:sz w:val="28"/>
        <w:szCs w:val="32"/>
      </w:rPr>
    </w:pPr>
    <w:r w:rsidRPr="00230F0A">
      <w:rPr>
        <w:rFonts w:asciiTheme="minorEastAsia" w:hAnsiTheme="minorEastAsia" w:cstheme="minorEastAsia"/>
        <w:b/>
        <w:smallCaps/>
        <w:sz w:val="28"/>
        <w:szCs w:val="32"/>
      </w:rPr>
      <w:t>Gahanna, OH 43230</w:t>
    </w:r>
  </w:p>
  <w:p w14:paraId="20E070E8" w14:textId="77777777" w:rsidR="00230F0A" w:rsidRDefault="00230F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E7EF3"/>
    <w:multiLevelType w:val="hybridMultilevel"/>
    <w:tmpl w:val="27DEB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D6F73"/>
    <w:multiLevelType w:val="hybridMultilevel"/>
    <w:tmpl w:val="9A042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034AC"/>
    <w:multiLevelType w:val="hybridMultilevel"/>
    <w:tmpl w:val="BD52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A7088"/>
    <w:multiLevelType w:val="hybridMultilevel"/>
    <w:tmpl w:val="DD0A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A0D66"/>
    <w:multiLevelType w:val="hybridMultilevel"/>
    <w:tmpl w:val="76B0B044"/>
    <w:lvl w:ilvl="0" w:tplc="B4349D2A">
      <w:numFmt w:val="bullet"/>
      <w:lvlText w:val="•"/>
      <w:lvlJc w:val="left"/>
      <w:pPr>
        <w:ind w:left="2880" w:hanging="144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D349BC"/>
    <w:multiLevelType w:val="hybridMultilevel"/>
    <w:tmpl w:val="DE40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E28F6"/>
    <w:multiLevelType w:val="hybridMultilevel"/>
    <w:tmpl w:val="DD4EBCA2"/>
    <w:lvl w:ilvl="0" w:tplc="B4349D2A">
      <w:numFmt w:val="bullet"/>
      <w:lvlText w:val="•"/>
      <w:lvlJc w:val="left"/>
      <w:pPr>
        <w:ind w:left="1800" w:hanging="144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8009F"/>
    <w:multiLevelType w:val="hybridMultilevel"/>
    <w:tmpl w:val="E34A427C"/>
    <w:lvl w:ilvl="0" w:tplc="B4349D2A">
      <w:numFmt w:val="bullet"/>
      <w:lvlText w:val="•"/>
      <w:lvlJc w:val="left"/>
      <w:pPr>
        <w:ind w:left="2160" w:hanging="144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81521A"/>
    <w:multiLevelType w:val="hybridMultilevel"/>
    <w:tmpl w:val="E062BF70"/>
    <w:lvl w:ilvl="0" w:tplc="B4349D2A">
      <w:numFmt w:val="bullet"/>
      <w:lvlText w:val="•"/>
      <w:lvlJc w:val="left"/>
      <w:pPr>
        <w:ind w:left="2160" w:hanging="144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0A"/>
    <w:rsid w:val="0006199F"/>
    <w:rsid w:val="00230F0A"/>
    <w:rsid w:val="00310C5D"/>
    <w:rsid w:val="004C5448"/>
    <w:rsid w:val="00E375B7"/>
    <w:rsid w:val="00E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977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F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F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371</Characters>
  <Application>Microsoft Macintosh Word</Application>
  <DocSecurity>0</DocSecurity>
  <Lines>3</Lines>
  <Paragraphs>1</Paragraphs>
  <ScaleCrop>false</ScaleCrop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Stadvec</dc:creator>
  <cp:keywords/>
  <dc:description/>
  <cp:lastModifiedBy>Hallie Stadvec</cp:lastModifiedBy>
  <cp:revision>2</cp:revision>
  <dcterms:created xsi:type="dcterms:W3CDTF">2018-03-26T15:31:00Z</dcterms:created>
  <dcterms:modified xsi:type="dcterms:W3CDTF">2018-03-26T16:04:00Z</dcterms:modified>
</cp:coreProperties>
</file>